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7"/>
        <w:ind w:left="226" w:right="0" w:firstLine="0"/>
        <w:jc w:val="left"/>
        <w:rPr>
          <w:rFonts w:ascii="PMingLiU" w:hAnsi="PMingLiU" w:eastAsia="PMingLiU" w:hint="eastAsia"/>
          <w:b/>
          <w:sz w:val="24"/>
        </w:rPr>
      </w:pPr>
      <w:r>
        <w:rPr>
          <w:rFonts w:ascii="PMingLiU" w:hAnsi="PMingLiU" w:eastAsia="PMingLiU" w:hint="eastAsia"/>
          <w:b/>
          <w:color w:val="FF0000"/>
          <w:sz w:val="24"/>
        </w:rPr>
        <w:t>※網底部分請務必填寫</w:t>
      </w:r>
    </w:p>
    <w:p>
      <w:pPr>
        <w:tabs>
          <w:tab w:pos="5509" w:val="left" w:leader="none"/>
        </w:tabs>
        <w:spacing w:before="98"/>
        <w:ind w:left="226" w:right="0" w:firstLine="0"/>
        <w:jc w:val="left"/>
        <w:rPr>
          <w:sz w:val="24"/>
        </w:rPr>
      </w:pPr>
      <w:r>
        <w:rPr/>
        <w:br w:type="column"/>
      </w:r>
      <w:r>
        <w:rPr>
          <w:rFonts w:ascii="Microsoft JhengHei" w:eastAsia="Microsoft JhengHei" w:hint="eastAsia"/>
          <w:b/>
          <w:sz w:val="32"/>
        </w:rPr>
        <w:t>國立東華大學學人宿舍申請單</w:t>
        <w:tab/>
      </w:r>
      <w:r>
        <w:rPr>
          <w:sz w:val="24"/>
        </w:rPr>
        <w:t>年 月 日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360" w:bottom="0" w:left="340" w:right="1180"/>
          <w:cols w:num="2" w:equalWidth="0">
            <w:col w:w="2669" w:space="656"/>
            <w:col w:w="7065"/>
          </w:cols>
        </w:sectPr>
      </w:pPr>
    </w:p>
    <w:p>
      <w:pPr>
        <w:spacing w:line="240" w:lineRule="auto" w:before="2"/>
        <w:rPr>
          <w:sz w:val="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8.230011pt;margin-top:152.170609pt;width:43.6pt;height:26.05pt;mso-position-horizontal-relative:page;mso-position-vertical-relative:page;z-index:-252241920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rPr>
                      <w:rFonts w:ascii="MingLiU" w:eastAsia="MingLiU" w:hint="eastAsia"/>
                    </w:rPr>
                  </w:pPr>
                  <w:r>
                    <w:rPr>
                      <w:rFonts w:ascii="MingLiU" w:eastAsia="MingLiU" w:hint="eastAsia"/>
                      <w:spacing w:val="33"/>
                    </w:rPr>
                    <w:t>任職本</w:t>
                  </w:r>
                  <w:r>
                    <w:rPr>
                      <w:rFonts w:ascii="MingLiU" w:eastAsia="MingLiU" w:hint="eastAsia"/>
                      <w:spacing w:val="-70"/>
                    </w:rPr>
                    <w:t> </w:t>
                  </w:r>
                </w:p>
                <w:p>
                  <w:pPr>
                    <w:pStyle w:val="BodyText"/>
                    <w:spacing w:line="260" w:lineRule="exact"/>
                    <w:rPr>
                      <w:rFonts w:ascii="MingLiU" w:eastAsia="MingLiU" w:hint="eastAsia"/>
                    </w:rPr>
                  </w:pPr>
                  <w:r>
                    <w:rPr>
                      <w:rFonts w:ascii="MingLiU" w:eastAsia="MingLiU" w:hint="eastAsia"/>
                      <w:spacing w:val="33"/>
                    </w:rPr>
                    <w:t>校年資</w:t>
                  </w:r>
                  <w:r>
                    <w:rPr>
                      <w:rFonts w:ascii="MingLiU" w:eastAsia="MingLiU" w:hint="eastAsia"/>
                      <w:spacing w:val="-7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230011pt;margin-top:218.410614pt;width:43.6pt;height:12pt;mso-position-horizontal-relative:page;mso-position-vertical-relative:page;z-index:-252240896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  <w:rPr>
                      <w:rFonts w:ascii="MingLiU" w:eastAsia="MingLiU" w:hint="eastAsia"/>
                    </w:rPr>
                  </w:pPr>
                  <w:r>
                    <w:rPr>
                      <w:rFonts w:ascii="MingLiU" w:eastAsia="MingLiU" w:hint="eastAsia"/>
                    </w:rPr>
                    <w:t>或研究 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1262"/>
        <w:gridCol w:w="112"/>
        <w:gridCol w:w="556"/>
        <w:gridCol w:w="1130"/>
        <w:gridCol w:w="772"/>
        <w:gridCol w:w="102"/>
        <w:gridCol w:w="1082"/>
        <w:gridCol w:w="922"/>
        <w:gridCol w:w="479"/>
        <w:gridCol w:w="1742"/>
        <w:gridCol w:w="779"/>
      </w:tblGrid>
      <w:tr>
        <w:trPr>
          <w:trHeight w:val="505" w:hRule="atLeast"/>
        </w:trPr>
        <w:tc>
          <w:tcPr>
            <w:tcW w:w="6197" w:type="dxa"/>
            <w:gridSpan w:val="8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tabs>
                <w:tab w:pos="4068" w:val="left" w:leader="none"/>
              </w:tabs>
              <w:spacing w:line="308" w:lineRule="exact" w:before="100"/>
              <w:ind w:left="107"/>
              <w:rPr>
                <w:sz w:val="24"/>
              </w:rPr>
            </w:pPr>
            <w:r>
              <w:rPr>
                <w:sz w:val="24"/>
              </w:rPr>
              <w:t>□改 借 （現住：</w:t>
              <w:tab/>
              <w:t>）</w:t>
            </w:r>
          </w:p>
          <w:p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□借 用</w:t>
            </w:r>
          </w:p>
          <w:p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□續 借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436" w:lineRule="exact"/>
              <w:ind w:left="233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積</w:t>
            </w:r>
          </w:p>
        </w:tc>
        <w:tc>
          <w:tcPr>
            <w:tcW w:w="222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436" w:lineRule="exact"/>
              <w:ind w:right="220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點</w:t>
            </w:r>
          </w:p>
        </w:tc>
        <w:tc>
          <w:tcPr>
            <w:tcW w:w="779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436" w:lineRule="exact"/>
              <w:ind w:left="33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表</w:t>
            </w:r>
          </w:p>
        </w:tc>
      </w:tr>
      <w:tr>
        <w:trPr>
          <w:trHeight w:val="558" w:hRule="atLeast"/>
        </w:trPr>
        <w:tc>
          <w:tcPr>
            <w:tcW w:w="6197" w:type="dxa"/>
            <w:gridSpan w:val="8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22"/>
              <w:ind w:left="264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7" w:val="left" w:leader="none"/>
                <w:tab w:pos="1748" w:val="left" w:leader="none"/>
              </w:tabs>
              <w:spacing w:before="122"/>
              <w:ind w:left="307"/>
              <w:rPr>
                <w:sz w:val="24"/>
              </w:rPr>
            </w:pPr>
            <w:r>
              <w:rPr>
                <w:sz w:val="24"/>
              </w:rPr>
              <w:t>點</w:t>
              <w:tab/>
              <w:t>標</w:t>
              <w:tab/>
              <w:t>準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exact"/>
              <w:ind w:left="168" w:right="108"/>
              <w:rPr>
                <w:sz w:val="24"/>
              </w:rPr>
            </w:pPr>
            <w:r>
              <w:rPr>
                <w:sz w:val="24"/>
              </w:rPr>
              <w:t>核定點數</w:t>
            </w:r>
          </w:p>
        </w:tc>
      </w:tr>
      <w:tr>
        <w:trPr>
          <w:trHeight w:val="561" w:hRule="atLeast"/>
        </w:trPr>
        <w:tc>
          <w:tcPr>
            <w:tcW w:w="619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tabs>
                <w:tab w:pos="1778" w:val="left" w:leader="none"/>
                <w:tab w:pos="2978" w:val="left" w:leader="none"/>
                <w:tab w:pos="4181" w:val="left" w:leader="none"/>
                <w:tab w:pos="5381" w:val="left" w:leader="none"/>
              </w:tabs>
              <w:spacing w:before="45"/>
              <w:ind w:left="575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申</w:t>
              <w:tab/>
              <w:t>請</w:t>
              <w:tab/>
              <w:t>人</w:t>
              <w:tab/>
              <w:t>資</w:t>
              <w:tab/>
              <w:t>料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408"/>
              <w:rPr>
                <w:sz w:val="24"/>
              </w:rPr>
            </w:pPr>
            <w:r>
              <w:rPr>
                <w:sz w:val="24"/>
              </w:rPr>
              <w:t>底</w:t>
            </w:r>
          </w:p>
          <w:p>
            <w:pPr>
              <w:pStyle w:val="TableParagraph"/>
              <w:spacing w:line="250" w:lineRule="exact"/>
              <w:ind w:left="408"/>
              <w:rPr>
                <w:sz w:val="24"/>
              </w:rPr>
            </w:pPr>
            <w:r>
              <w:rPr>
                <w:sz w:val="24"/>
              </w:rPr>
              <w:t>薪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元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277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點</w:t>
            </w:r>
          </w:p>
        </w:tc>
      </w:tr>
      <w:tr>
        <w:trPr>
          <w:trHeight w:val="558" w:hRule="atLeast"/>
        </w:trPr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tabs>
                <w:tab w:pos="498" w:val="left" w:leader="none"/>
              </w:tabs>
              <w:spacing w:before="12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單</w:t>
              <w:tab/>
              <w:t>位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spacing w:line="278" w:lineRule="exact"/>
              <w:ind w:left="223" w:right="192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spacing w:line="278" w:lineRule="exact"/>
              <w:ind w:left="278" w:right="242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spacing w:line="199" w:lineRule="auto" w:before="103"/>
              <w:ind w:left="17" w:right="32"/>
              <w:jc w:val="both"/>
              <w:rPr>
                <w:sz w:val="24"/>
              </w:rPr>
            </w:pPr>
            <w:r>
              <w:rPr>
                <w:sz w:val="24"/>
              </w:rPr>
              <w:t>自民國 年  月  日至民國 年  月  日計 年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點</w:t>
            </w:r>
          </w:p>
        </w:tc>
      </w:tr>
      <w:tr>
        <w:trPr>
          <w:trHeight w:val="429" w:hRule="atLeast"/>
        </w:trPr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spacing w:before="5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5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spacing w:line="318" w:lineRule="exact" w:before="24"/>
              <w:ind w:left="18"/>
              <w:jc w:val="center"/>
              <w:rPr>
                <w:rFonts w:ascii="MingLiU_HKSCS"/>
                <w:sz w:val="24"/>
              </w:rPr>
            </w:pPr>
            <w:r>
              <w:rPr>
                <w:rFonts w:ascii="MingLiU_HKSCS"/>
                <w:sz w:val="24"/>
              </w:rPr>
              <w:t>e-mail</w:t>
            </w:r>
          </w:p>
        </w:tc>
        <w:tc>
          <w:tcPr>
            <w:tcW w:w="5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sz w:val="16"/>
              </w:rPr>
            </w:pPr>
          </w:p>
          <w:p>
            <w:pPr>
              <w:pStyle w:val="TableParagraph"/>
              <w:tabs>
                <w:tab w:pos="699" w:val="left" w:leader="none"/>
              </w:tabs>
              <w:ind w:left="118" w:right="-29"/>
              <w:rPr>
                <w:sz w:val="24"/>
              </w:rPr>
            </w:pPr>
            <w:r>
              <w:rPr>
                <w:sz w:val="24"/>
              </w:rPr>
              <w:t>教</w:t>
              <w:tab/>
            </w:r>
            <w:r>
              <w:rPr>
                <w:spacing w:val="-18"/>
                <w:sz w:val="24"/>
              </w:rPr>
              <w:t>師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699" w:val="left" w:leader="none"/>
              </w:tabs>
              <w:ind w:left="118" w:right="-29"/>
              <w:rPr>
                <w:sz w:val="24"/>
              </w:rPr>
            </w:pPr>
            <w:r>
              <w:rPr>
                <w:sz w:val="24"/>
              </w:rPr>
              <w:t>人</w:t>
              <w:tab/>
            </w:r>
            <w:r>
              <w:rPr>
                <w:spacing w:val="-18"/>
                <w:sz w:val="24"/>
              </w:rPr>
              <w:t>員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tabs>
                <w:tab w:pos="926" w:val="left" w:leader="none"/>
              </w:tabs>
              <w:spacing w:before="138"/>
              <w:ind w:left="125"/>
              <w:rPr>
                <w:sz w:val="20"/>
              </w:rPr>
            </w:pPr>
            <w:r>
              <w:rPr>
                <w:sz w:val="20"/>
              </w:rPr>
              <w:t>□教授</w:t>
              <w:tab/>
              <w:t>□研究員</w:t>
            </w:r>
          </w:p>
          <w:p>
            <w:pPr>
              <w:pStyle w:val="TableParagraph"/>
              <w:spacing w:line="279" w:lineRule="exact" w:before="1"/>
              <w:ind w:left="125"/>
              <w:rPr>
                <w:sz w:val="20"/>
              </w:rPr>
            </w:pPr>
            <w:r>
              <w:rPr>
                <w:sz w:val="20"/>
              </w:rPr>
              <w:t>□副教授□副研究員</w:t>
            </w:r>
          </w:p>
          <w:p>
            <w:pPr>
              <w:pStyle w:val="TableParagraph"/>
              <w:spacing w:line="279" w:lineRule="exact"/>
              <w:ind w:left="125"/>
              <w:rPr>
                <w:sz w:val="20"/>
              </w:rPr>
            </w:pPr>
            <w:r>
              <w:rPr>
                <w:sz w:val="20"/>
              </w:rPr>
              <w:t>□助理教授</w:t>
            </w:r>
          </w:p>
          <w:p>
            <w:pPr>
              <w:pStyle w:val="TableParagraph"/>
              <w:spacing w:before="2"/>
              <w:ind w:left="125"/>
              <w:rPr>
                <w:sz w:val="20"/>
              </w:rPr>
            </w:pPr>
            <w:r>
              <w:rPr>
                <w:sz w:val="20"/>
              </w:rPr>
              <w:t>□講師 □助理研究員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451"/>
              <w:rPr>
                <w:sz w:val="24"/>
              </w:rPr>
            </w:pPr>
            <w:r>
              <w:rPr>
                <w:sz w:val="24"/>
              </w:rPr>
              <w:t>點</w:t>
            </w:r>
          </w:p>
        </w:tc>
      </w:tr>
      <w:tr>
        <w:trPr>
          <w:trHeight w:val="689" w:hRule="atLeast"/>
        </w:trPr>
        <w:tc>
          <w:tcPr>
            <w:tcW w:w="619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619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tabs>
                <w:tab w:pos="1256" w:val="left" w:leader="none"/>
                <w:tab w:pos="2403" w:val="left" w:leader="none"/>
                <w:tab w:pos="3552" w:val="left" w:leader="none"/>
                <w:tab w:pos="4699" w:val="left" w:leader="none"/>
                <w:tab w:pos="5846" w:val="left" w:leader="none"/>
              </w:tabs>
              <w:spacing w:line="260" w:lineRule="exact"/>
              <w:ind w:left="107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申</w:t>
              <w:tab/>
              <w:t>請</w:t>
              <w:tab/>
              <w:t>宿</w:t>
              <w:tab/>
              <w:t>舍</w:t>
              <w:tab/>
              <w:t>種</w:t>
              <w:tab/>
              <w:t>類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6197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spacing w:before="9"/>
              <w:rPr>
                <w:sz w:val="34"/>
              </w:rPr>
            </w:pPr>
          </w:p>
          <w:p>
            <w:pPr>
              <w:pStyle w:val="TableParagraph"/>
              <w:spacing w:line="336" w:lineRule="exact" w:before="1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□居南邨 一期雙併式</w:t>
            </w:r>
          </w:p>
          <w:p>
            <w:pPr>
              <w:pStyle w:val="TableParagraph"/>
              <w:spacing w:line="280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□居南邨 二期雙併式</w:t>
            </w:r>
          </w:p>
          <w:p>
            <w:pPr>
              <w:pStyle w:val="TableParagraph"/>
              <w:spacing w:line="280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□居南邨 二期四併式三房</w:t>
            </w:r>
          </w:p>
          <w:p>
            <w:pPr>
              <w:pStyle w:val="TableParagraph"/>
              <w:spacing w:line="281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□居南邨 二期四併式二房</w:t>
            </w:r>
          </w:p>
          <w:p>
            <w:pPr>
              <w:pStyle w:val="TableParagraph"/>
              <w:spacing w:line="280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□素心里三房</w:t>
            </w:r>
          </w:p>
          <w:p>
            <w:pPr>
              <w:pStyle w:val="TableParagraph"/>
              <w:spacing w:line="280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□素心里二房</w:t>
            </w:r>
          </w:p>
          <w:p>
            <w:pPr>
              <w:pStyle w:val="TableParagraph"/>
              <w:spacing w:line="281" w:lineRule="exact"/>
              <w:ind w:left="107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□素心里一房</w:t>
            </w:r>
            <w:r>
              <w:rPr>
                <w:rFonts w:ascii="Times New Roman" w:hAnsi="Times New Roman" w:eastAsia="Times New Roman"/>
                <w:sz w:val="28"/>
              </w:rPr>
              <w:t>(</w:t>
            </w:r>
            <w:r>
              <w:rPr>
                <w:sz w:val="28"/>
              </w:rPr>
              <w:t>單房間</w:t>
            </w:r>
            <w:r>
              <w:rPr>
                <w:rFonts w:ascii="Times New Roman" w:hAnsi="Times New Roman" w:eastAsia="Times New Roman"/>
                <w:sz w:val="28"/>
              </w:rPr>
              <w:t>)</w:t>
            </w:r>
          </w:p>
          <w:p>
            <w:pPr>
              <w:pStyle w:val="TableParagraph"/>
              <w:spacing w:line="336" w:lineRule="exact"/>
              <w:ind w:left="107"/>
              <w:rPr>
                <w:sz w:val="28"/>
              </w:rPr>
            </w:pPr>
            <w:r>
              <w:rPr>
                <w:sz w:val="28"/>
              </w:rPr>
              <w:t>※請依優先順序以 </w:t>
            </w:r>
            <w:r>
              <w:rPr>
                <w:rFonts w:ascii="Times New Roman" w:hAnsi="Times New Roman" w:eastAsia="Times New Roman"/>
                <w:sz w:val="28"/>
              </w:rPr>
              <w:t>1</w:t>
            </w:r>
            <w:r>
              <w:rPr>
                <w:sz w:val="28"/>
              </w:rPr>
              <w:t>、</w:t>
            </w:r>
            <w:r>
              <w:rPr>
                <w:rFonts w:ascii="MingLiU_HKSCS" w:hAnsi="MingLiU_HKSCS" w:eastAsia="MingLiU_HKSCS" w:hint="eastAsia"/>
                <w:sz w:val="28"/>
              </w:rPr>
              <w:t>2</w:t>
            </w:r>
            <w:r>
              <w:rPr>
                <w:sz w:val="28"/>
              </w:rPr>
              <w:t>、</w:t>
            </w:r>
            <w:r>
              <w:rPr>
                <w:rFonts w:ascii="MingLiU_HKSCS" w:hAnsi="MingLiU_HKSCS" w:eastAsia="MingLiU_HKSCS" w:hint="eastAsia"/>
                <w:sz w:val="28"/>
              </w:rPr>
              <w:t>3</w:t>
            </w:r>
            <w:r>
              <w:rPr>
                <w:sz w:val="28"/>
              </w:rPr>
              <w:t>、</w:t>
            </w:r>
            <w:r>
              <w:rPr>
                <w:rFonts w:ascii="MingLiU_HKSCS" w:hAnsi="MingLiU_HKSCS" w:eastAsia="MingLiU_HKSCS" w:hint="eastAsia"/>
                <w:sz w:val="28"/>
              </w:rPr>
              <w:t>4</w:t>
            </w:r>
            <w:r>
              <w:rPr>
                <w:sz w:val="28"/>
              </w:rPr>
              <w:t>、</w:t>
            </w:r>
            <w:r>
              <w:rPr>
                <w:rFonts w:ascii="MingLiU_HKSCS" w:hAnsi="MingLiU_HKSCS" w:eastAsia="MingLiU_HKSCS" w:hint="eastAsia"/>
                <w:sz w:val="28"/>
              </w:rPr>
              <w:t>5..</w:t>
            </w:r>
            <w:r>
              <w:rPr>
                <w:sz w:val="28"/>
              </w:rPr>
              <w:t>排列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tabs>
                <w:tab w:pos="826" w:val="left" w:leader="none"/>
                <w:tab w:pos="1524" w:val="left" w:leader="none"/>
                <w:tab w:pos="2224" w:val="left" w:leader="none"/>
                <w:tab w:pos="2923" w:val="left" w:leader="none"/>
              </w:tabs>
              <w:spacing w:line="290" w:lineRule="exact"/>
              <w:ind w:left="128" w:right="-44"/>
              <w:rPr>
                <w:sz w:val="24"/>
              </w:rPr>
            </w:pPr>
            <w:r>
              <w:rPr>
                <w:sz w:val="24"/>
              </w:rPr>
              <w:t>兼</w:t>
              <w:tab/>
              <w:t>主</w:t>
              <w:tab/>
              <w:t>管</w:t>
              <w:tab/>
              <w:t>職</w:t>
              <w:tab/>
              <w:t>務</w:t>
            </w:r>
          </w:p>
          <w:p>
            <w:pPr>
              <w:pStyle w:val="TableParagraph"/>
              <w:spacing w:line="249" w:lineRule="exact"/>
              <w:ind w:left="276"/>
              <w:rPr>
                <w:sz w:val="24"/>
              </w:rPr>
            </w:pPr>
            <w:r>
              <w:rPr>
                <w:sz w:val="24"/>
              </w:rPr>
              <w:t>（含 現 任 或 曾 任）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451"/>
              <w:rPr>
                <w:sz w:val="24"/>
              </w:rPr>
            </w:pPr>
            <w:r>
              <w:rPr>
                <w:sz w:val="24"/>
              </w:rPr>
              <w:t>點</w:t>
            </w:r>
          </w:p>
        </w:tc>
      </w:tr>
      <w:tr>
        <w:trPr>
          <w:trHeight w:val="561" w:hRule="atLeast"/>
        </w:trPr>
        <w:tc>
          <w:tcPr>
            <w:tcW w:w="6197" w:type="dxa"/>
            <w:gridSpan w:val="8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tabs>
                <w:tab w:pos="1700" w:val="left" w:leader="none"/>
              </w:tabs>
              <w:spacing w:line="291" w:lineRule="exact"/>
              <w:ind w:left="140"/>
              <w:rPr>
                <w:sz w:val="24"/>
              </w:rPr>
            </w:pPr>
            <w:r>
              <w:rPr>
                <w:sz w:val="24"/>
              </w:rPr>
              <w:t>□一級主管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年</w:t>
            </w:r>
          </w:p>
          <w:p>
            <w:pPr>
              <w:pStyle w:val="TableParagraph"/>
              <w:tabs>
                <w:tab w:pos="1700" w:val="left" w:leader="none"/>
              </w:tabs>
              <w:spacing w:line="250" w:lineRule="exact"/>
              <w:ind w:left="140"/>
              <w:rPr>
                <w:sz w:val="24"/>
              </w:rPr>
            </w:pPr>
            <w:r>
              <w:rPr>
                <w:sz w:val="24"/>
              </w:rPr>
              <w:t>□二級主管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年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7" w:hRule="atLeast"/>
        </w:trPr>
        <w:tc>
          <w:tcPr>
            <w:tcW w:w="6197" w:type="dxa"/>
            <w:gridSpan w:val="8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3"/>
              <w:ind w:left="128" w:right="61"/>
              <w:jc w:val="both"/>
              <w:rPr>
                <w:rFonts w:ascii="PMingLiU" w:eastAsia="PMingLiU" w:hint="eastAsia"/>
                <w:sz w:val="24"/>
              </w:rPr>
            </w:pPr>
            <w:r>
              <w:rPr>
                <w:sz w:val="24"/>
              </w:rPr>
              <w:t>眷</w:t>
            </w:r>
            <w:r>
              <w:rPr>
                <w:rFonts w:ascii="PMingLiU" w:eastAsia="PMingLiU" w:hint="eastAsia"/>
                <w:sz w:val="24"/>
              </w:rPr>
              <w:t>口隨</w:t>
            </w:r>
            <w:r>
              <w:rPr>
                <w:sz w:val="24"/>
              </w:rPr>
              <w:t>居</w:t>
            </w:r>
            <w:r>
              <w:rPr>
                <w:rFonts w:ascii="PMingLiU" w:eastAsia="PMingLiU" w:hint="eastAsia"/>
                <w:sz w:val="24"/>
              </w:rPr>
              <w:t>任所</w:t>
            </w:r>
            <w:r>
              <w:rPr>
                <w:sz w:val="24"/>
              </w:rPr>
              <w:t>增</w:t>
            </w:r>
            <w:r>
              <w:rPr>
                <w:rFonts w:ascii="PMingLiU" w:eastAsia="PMingLiU" w:hint="eastAsia"/>
                <w:sz w:val="24"/>
              </w:rPr>
              <w:t>計點</w:t>
            </w:r>
          </w:p>
          <w:p>
            <w:pPr>
              <w:pStyle w:val="TableParagraph"/>
              <w:spacing w:line="229" w:lineRule="exact"/>
              <w:ind w:left="128"/>
              <w:rPr>
                <w:sz w:val="24"/>
              </w:rPr>
            </w:pPr>
            <w:r>
              <w:rPr>
                <w:sz w:val="24"/>
              </w:rPr>
              <w:t>數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3B3B3"/>
          </w:tcPr>
          <w:p>
            <w:pPr>
              <w:pStyle w:val="TableParagraph"/>
              <w:spacing w:line="315" w:lineRule="exact"/>
              <w:ind w:left="125"/>
              <w:rPr>
                <w:sz w:val="24"/>
              </w:rPr>
            </w:pPr>
            <w:r>
              <w:rPr>
                <w:rFonts w:ascii="PMingLiU" w:hAnsi="PMingLiU" w:eastAsia="PMingLiU" w:hint="eastAsia"/>
                <w:sz w:val="24"/>
              </w:rPr>
              <w:t>□</w:t>
            </w:r>
            <w:r>
              <w:rPr>
                <w:sz w:val="24"/>
              </w:rPr>
              <w:t>配偶</w:t>
            </w:r>
          </w:p>
          <w:p>
            <w:pPr>
              <w:pStyle w:val="TableParagraph"/>
              <w:tabs>
                <w:tab w:pos="1417" w:val="left" w:leader="none"/>
              </w:tabs>
              <w:spacing w:line="285" w:lineRule="exact"/>
              <w:ind w:left="125"/>
              <w:rPr>
                <w:rFonts w:ascii="PMingLiU" w:hAnsi="PMingLiU" w:eastAsia="PMingLiU" w:hint="eastAsia"/>
                <w:sz w:val="22"/>
              </w:rPr>
            </w:pPr>
            <w:r>
              <w:rPr>
                <w:rFonts w:ascii="PMingLiU" w:hAnsi="PMingLiU" w:eastAsia="PMingLiU" w:hint="eastAsia"/>
                <w:sz w:val="22"/>
              </w:rPr>
              <w:t>□眷口</w:t>
            </w:r>
            <w:r>
              <w:rPr>
                <w:rFonts w:ascii="PMingLiU" w:hAnsi="PMingLiU" w:eastAsia="PMingLiU" w:hint="eastAsia"/>
                <w:spacing w:val="30"/>
                <w:sz w:val="22"/>
              </w:rPr>
              <w:t>數</w:t>
            </w:r>
            <w:r>
              <w:rPr>
                <w:rFonts w:ascii="PMingLiU" w:hAnsi="PMingLiU" w:eastAsia="PMingLiU" w:hint="eastAsia"/>
                <w:spacing w:val="30"/>
                <w:sz w:val="22"/>
                <w:u w:val="single"/>
              </w:rPr>
              <w:t> </w:t>
              <w:tab/>
            </w:r>
            <w:r>
              <w:rPr>
                <w:rFonts w:ascii="PMingLiU" w:hAnsi="PMingLiU" w:eastAsia="PMingLiU" w:hint="eastAsia"/>
                <w:sz w:val="22"/>
              </w:rPr>
              <w:t>人</w:t>
            </w:r>
          </w:p>
          <w:p>
            <w:pPr>
              <w:pStyle w:val="TableParagraph"/>
              <w:spacing w:line="214" w:lineRule="exact"/>
              <w:ind w:left="125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未成年子女、父母或身心障礙</w:t>
            </w:r>
          </w:p>
          <w:p>
            <w:pPr>
              <w:pStyle w:val="TableParagraph"/>
              <w:spacing w:before="6"/>
              <w:ind w:left="125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賴其扶養之已成年子女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6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點</w:t>
            </w:r>
          </w:p>
        </w:tc>
      </w:tr>
      <w:tr>
        <w:trPr>
          <w:trHeight w:val="556" w:hRule="atLeast"/>
        </w:trPr>
        <w:tc>
          <w:tcPr>
            <w:tcW w:w="6197" w:type="dxa"/>
            <w:gridSpan w:val="8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89" w:val="left" w:leader="none"/>
                <w:tab w:pos="1472" w:val="left" w:leader="none"/>
                <w:tab w:pos="1952" w:val="left" w:leader="none"/>
                <w:tab w:pos="2432" w:val="left" w:leader="none"/>
              </w:tabs>
              <w:spacing w:before="43"/>
              <w:ind w:left="509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總</w:t>
              <w:tab/>
              <w:t>計</w:t>
              <w:tab/>
              <w:t>配</w:t>
              <w:tab/>
              <w:t>點</w:t>
              <w:tab/>
              <w:t>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點</w:t>
            </w:r>
          </w:p>
        </w:tc>
      </w:tr>
      <w:tr>
        <w:trPr>
          <w:trHeight w:val="491" w:hRule="atLeast"/>
        </w:trPr>
        <w:tc>
          <w:tcPr>
            <w:tcW w:w="6197" w:type="dxa"/>
            <w:gridSpan w:val="8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>
            <w:pPr>
              <w:pStyle w:val="TableParagraph"/>
              <w:spacing w:before="49"/>
              <w:ind w:left="720"/>
              <w:rPr>
                <w:sz w:val="28"/>
              </w:rPr>
            </w:pPr>
            <w:r>
              <w:rPr>
                <w:sz w:val="28"/>
              </w:rPr>
              <w:t>□持有身心障礙手冊</w:t>
            </w:r>
          </w:p>
        </w:tc>
      </w:tr>
      <w:tr>
        <w:trPr>
          <w:trHeight w:val="3638" w:hRule="atLeast"/>
        </w:trPr>
        <w:tc>
          <w:tcPr>
            <w:tcW w:w="10119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auto"/>
              <w:ind w:left="700" w:right="439" w:hanging="653"/>
              <w:rPr>
                <w:sz w:val="22"/>
              </w:rPr>
            </w:pPr>
            <w:r>
              <w:rPr>
                <w:spacing w:val="-14"/>
                <w:sz w:val="22"/>
              </w:rPr>
              <w:t>＊一、</w:t>
            </w:r>
            <w:r>
              <w:rPr>
                <w:color w:val="FF0000"/>
                <w:spacing w:val="-5"/>
                <w:sz w:val="22"/>
              </w:rPr>
              <w:t>積點表內除眷口隨居任所增計點數欄位申請時需檢附證明文件外、其餘底薪、任職本校年資、</w:t>
            </w:r>
            <w:r>
              <w:rPr>
                <w:color w:val="FF0000"/>
                <w:spacing w:val="-3"/>
                <w:sz w:val="22"/>
              </w:rPr>
              <w:t>教師或研究人員及兼任主管職務（</w:t>
            </w:r>
            <w:r>
              <w:rPr>
                <w:color w:val="FF0000"/>
                <w:spacing w:val="-2"/>
                <w:sz w:val="22"/>
              </w:rPr>
              <w:t>含現任或曾任</w:t>
            </w:r>
            <w:r>
              <w:rPr>
                <w:color w:val="FF0000"/>
                <w:spacing w:val="-3"/>
                <w:sz w:val="22"/>
              </w:rPr>
              <w:t>）等欄位，申請時無需檢附。</w:t>
            </w: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二、本人或配偶，有下列情形之一者，不得申請借用本宿舍：</w:t>
            </w:r>
          </w:p>
          <w:p>
            <w:pPr>
              <w:pStyle w:val="TableParagraph"/>
              <w:spacing w:line="244" w:lineRule="auto"/>
              <w:ind w:left="1411" w:right="72" w:hanging="721"/>
              <w:rPr>
                <w:sz w:val="22"/>
              </w:rPr>
            </w:pPr>
            <w:r>
              <w:rPr>
                <w:sz w:val="22"/>
              </w:rPr>
              <w:t>（一）曾獲政府輔助、補助購置或承購住宅，包括曾獲政府負擔補貼利息之輔助、補助購置住宅貸款及曾承購政府興建優惠計價之住宅等。</w:t>
            </w:r>
          </w:p>
          <w:p>
            <w:pPr>
              <w:pStyle w:val="TableParagraph"/>
              <w:ind w:left="734"/>
              <w:rPr>
                <w:sz w:val="22"/>
              </w:rPr>
            </w:pPr>
            <w:r>
              <w:rPr>
                <w:sz w:val="22"/>
              </w:rPr>
              <w:t>（二）曾獲公有眷舍處理之一次補助費，或配住眷舍經核定騰空標售而未依規定期限遷出。</w:t>
            </w:r>
          </w:p>
          <w:p>
            <w:pPr>
              <w:pStyle w:val="TableParagraph"/>
              <w:spacing w:before="7"/>
              <w:ind w:left="734"/>
              <w:rPr>
                <w:sz w:val="22"/>
              </w:rPr>
            </w:pPr>
            <w:r>
              <w:rPr>
                <w:sz w:val="22"/>
              </w:rPr>
              <w:t>（三）曾獲公有眷舍現狀標售得標人安置處理。</w:t>
            </w:r>
          </w:p>
          <w:p>
            <w:pPr>
              <w:pStyle w:val="TableParagraph"/>
              <w:spacing w:before="6"/>
              <w:ind w:left="734"/>
              <w:rPr>
                <w:sz w:val="22"/>
              </w:rPr>
            </w:pPr>
            <w:r>
              <w:rPr>
                <w:sz w:val="22"/>
              </w:rPr>
              <w:t>（四）配偶或隨居任所之扶養親屬已在其他機關借用宿舍者。</w:t>
            </w:r>
          </w:p>
          <w:p>
            <w:pPr>
              <w:pStyle w:val="TableParagraph"/>
              <w:spacing w:line="218" w:lineRule="auto" w:before="41"/>
              <w:ind w:left="765" w:right="81"/>
              <w:rPr>
                <w:sz w:val="22"/>
              </w:rPr>
            </w:pPr>
            <w:r>
              <w:rPr>
                <w:sz w:val="22"/>
              </w:rPr>
              <w:t>前項第一款情形之編制內人員，因職務調動，致購置住宅地點與工作地點之距離，於當日通勤往返顯有困難者，得經校長核准借用單房間職務宿舍。</w:t>
            </w:r>
          </w:p>
          <w:p>
            <w:pPr>
              <w:pStyle w:val="TableParagraph"/>
              <w:spacing w:line="275" w:lineRule="exact"/>
              <w:ind w:left="248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三、眷口數之計算係指</w:t>
            </w:r>
            <w:r>
              <w:rPr>
                <w:rFonts w:ascii="PMingLiU" w:eastAsia="PMingLiU" w:hint="eastAsia"/>
                <w:sz w:val="22"/>
              </w:rPr>
              <w:t>：配偶、未成年子女、父母或身心障礙賴其扶養之已成年子女</w:t>
            </w:r>
            <w:r>
              <w:rPr>
                <w:rFonts w:ascii="PMingLiU" w:eastAsia="PMingLiU" w:hint="eastAsia"/>
                <w:color w:val="FF0000"/>
                <w:sz w:val="22"/>
              </w:rPr>
              <w:t>隨居任所者</w:t>
            </w:r>
            <w:r>
              <w:rPr>
                <w:rFonts w:ascii="PMingLiU" w:eastAsia="PMingLiU" w:hint="eastAsia"/>
                <w:sz w:val="22"/>
              </w:rPr>
              <w:t>，每</w:t>
            </w:r>
          </w:p>
          <w:p>
            <w:pPr>
              <w:pStyle w:val="TableParagraph"/>
              <w:spacing w:line="243" w:lineRule="exact"/>
              <w:ind w:left="690"/>
              <w:rPr>
                <w:rFonts w:ascii="PMingLiU" w:eastAsia="PMingLiU" w:hint="eastAsia"/>
                <w:sz w:val="22"/>
              </w:rPr>
            </w:pPr>
            <w:r>
              <w:rPr>
                <w:rFonts w:ascii="PMingLiU" w:eastAsia="PMingLiU" w:hint="eastAsia"/>
                <w:sz w:val="22"/>
              </w:rPr>
              <w:t>一眷口數增計五點。</w:t>
            </w:r>
          </w:p>
        </w:tc>
      </w:tr>
      <w:tr>
        <w:trPr>
          <w:trHeight w:val="1120" w:hRule="atLeast"/>
        </w:trPr>
        <w:tc>
          <w:tcPr>
            <w:tcW w:w="619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spacing w:line="319" w:lineRule="exact"/>
              <w:ind w:left="2720" w:right="2696"/>
              <w:jc w:val="center"/>
              <w:rPr>
                <w:sz w:val="24"/>
              </w:rPr>
            </w:pPr>
            <w:r>
              <w:rPr>
                <w:sz w:val="24"/>
              </w:rPr>
              <w:t>申請人</w:t>
            </w:r>
          </w:p>
        </w:tc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>
            <w:pPr>
              <w:pStyle w:val="TableParagraph"/>
              <w:spacing w:line="216" w:lineRule="auto" w:before="7"/>
              <w:ind w:left="126" w:right="273" w:firstLine="1"/>
              <w:rPr>
                <w:rFonts w:ascii="PMingLiU" w:eastAsia="PMingLiU" w:hint="eastAsia"/>
                <w:sz w:val="24"/>
              </w:rPr>
            </w:pPr>
            <w:r>
              <w:rPr>
                <w:sz w:val="24"/>
              </w:rPr>
              <w:t>申請人及配偶未具上述第二點情形</w:t>
            </w:r>
            <w:r>
              <w:rPr>
                <w:rFonts w:ascii="PMingLiU" w:eastAsia="PMingLiU" w:hint="eastAsia"/>
                <w:sz w:val="24"/>
              </w:rPr>
              <w:t>，且眷口數均確實隨居任所。</w:t>
            </w:r>
          </w:p>
          <w:p>
            <w:pPr>
              <w:pStyle w:val="TableParagraph"/>
              <w:spacing w:line="288" w:lineRule="exact" w:before="201"/>
              <w:ind w:left="159"/>
              <w:rPr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切結</w:t>
            </w:r>
            <w:r>
              <w:rPr>
                <w:sz w:val="24"/>
              </w:rPr>
              <w:t>簽章：</w:t>
            </w:r>
          </w:p>
        </w:tc>
      </w:tr>
      <w:tr>
        <w:trPr>
          <w:trHeight w:val="539" w:hRule="atLeast"/>
        </w:trPr>
        <w:tc>
          <w:tcPr>
            <w:tcW w:w="511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8" w:val="left" w:leader="none"/>
                <w:tab w:pos="3398" w:val="left" w:leader="none"/>
                <w:tab w:pos="4598" w:val="left" w:leader="none"/>
              </w:tabs>
              <w:spacing w:before="112"/>
              <w:ind w:left="277"/>
              <w:rPr>
                <w:sz w:val="24"/>
              </w:rPr>
            </w:pPr>
            <w:r>
              <w:rPr>
                <w:sz w:val="24"/>
              </w:rPr>
              <w:t>會</w:t>
              <w:tab/>
              <w:t>審</w:t>
              <w:tab/>
              <w:t>意</w:t>
              <w:tab/>
              <w:t>見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420"/>
              <w:rPr>
                <w:sz w:val="24"/>
              </w:rPr>
            </w:pPr>
            <w:r>
              <w:rPr>
                <w:sz w:val="24"/>
              </w:rPr>
              <w:t>宿委會審議結果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858" w:val="left" w:leader="none"/>
                <w:tab w:pos="1458" w:val="left" w:leader="none"/>
              </w:tabs>
              <w:spacing w:before="112"/>
              <w:ind w:left="138"/>
              <w:rPr>
                <w:sz w:val="24"/>
              </w:rPr>
            </w:pPr>
            <w:r>
              <w:rPr>
                <w:sz w:val="24"/>
              </w:rPr>
              <w:t>校</w:t>
              <w:tab/>
              <w:t>長</w:t>
              <w:tab/>
              <w:t>核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示</w:t>
            </w:r>
          </w:p>
        </w:tc>
      </w:tr>
      <w:tr>
        <w:trPr>
          <w:trHeight w:val="524" w:hRule="atLeast"/>
        </w:trPr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6" w:val="left" w:leader="none"/>
                <w:tab w:pos="1756" w:val="left" w:leader="none"/>
              </w:tabs>
              <w:spacing w:before="110"/>
              <w:ind w:left="556"/>
              <w:rPr>
                <w:sz w:val="24"/>
              </w:rPr>
            </w:pPr>
            <w:r>
              <w:rPr>
                <w:sz w:val="24"/>
              </w:rPr>
              <w:t>總</w:t>
              <w:tab/>
              <w:t>務</w:t>
              <w:tab/>
              <w:t>處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75" w:val="left" w:leader="none"/>
                <w:tab w:pos="1775" w:val="left" w:leader="none"/>
              </w:tabs>
              <w:spacing w:before="110"/>
              <w:ind w:left="574"/>
              <w:rPr>
                <w:sz w:val="24"/>
              </w:rPr>
            </w:pPr>
            <w:r>
              <w:rPr>
                <w:sz w:val="24"/>
              </w:rPr>
              <w:t>人</w:t>
              <w:tab/>
              <w:t>事</w:t>
              <w:tab/>
              <w:t>室</w:t>
            </w:r>
          </w:p>
        </w:tc>
        <w:tc>
          <w:tcPr>
            <w:tcW w:w="24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80" w:hRule="atLeast"/>
        </w:trPr>
        <w:tc>
          <w:tcPr>
            <w:tcW w:w="255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2"/>
        <w:rPr>
          <w:sz w:val="13"/>
        </w:rPr>
      </w:pPr>
    </w:p>
    <w:p>
      <w:pPr>
        <w:pStyle w:val="BodyText"/>
        <w:spacing w:before="75"/>
        <w:ind w:right="208"/>
        <w:jc w:val="right"/>
      </w:pPr>
      <w:r>
        <w:rPr/>
        <w:t>0950120 </w:t>
      </w:r>
      <w:r>
        <w:rPr>
          <w:rFonts w:ascii="PMingLiU" w:eastAsia="PMingLiU" w:hint="eastAsia"/>
        </w:rPr>
        <w:t>表 </w:t>
      </w:r>
      <w:r>
        <w:rPr/>
        <w:t>GA408</w:t>
      </w:r>
    </w:p>
    <w:sectPr>
      <w:type w:val="continuous"/>
      <w:pgSz w:w="11910" w:h="16840"/>
      <w:pgMar w:top="360" w:bottom="0" w:left="3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MingLiU">
    <w:altName w:val="MingLiU"/>
    <w:charset w:val="0"/>
    <w:family w:val="modern"/>
    <w:pitch w:val="fixed"/>
  </w:font>
  <w:font w:name="MingLiU_HKSCS">
    <w:altName w:val="MingLiU_HKSCS"/>
    <w:charset w:val="0"/>
    <w:family w:val="roman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gLiU" w:hAnsi="MingLiU" w:eastAsia="MingLiU" w:cs="MingLiU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MingLiU" w:hAnsi="MingLiU" w:eastAsia="MingLiU" w:cs="MingLiU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2020-12-16T07:23:27Z</dcterms:created>
  <dcterms:modified xsi:type="dcterms:W3CDTF">2020-12-16T07:23:27Z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